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701" w:right="4110"/>
      </w:pPr>
      <w:r/>
      <w:r/>
    </w:p>
    <w:p>
      <w:pPr>
        <w:ind w:left="2835" w:hanging="283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Стационарная</w:t>
      </w:r>
      <w:r>
        <w:rPr>
          <w:rFonts w:ascii="Times New Roman" w:hAnsi="Times New Roman"/>
          <w:b/>
          <w:sz w:val="44"/>
          <w:szCs w:val="44"/>
        </w:rPr>
      </w:r>
    </w:p>
    <w:p>
      <w:pPr>
        <w:ind w:left="2835" w:hanging="283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индукционная систем</w:t>
      </w:r>
      <w:r>
        <w:rPr>
          <w:rFonts w:ascii="Times New Roman" w:hAnsi="Times New Roman"/>
          <w:b/>
          <w:sz w:val="44"/>
          <w:szCs w:val="44"/>
        </w:rPr>
        <w:t xml:space="preserve">а</w:t>
      </w:r>
      <w:r>
        <w:rPr>
          <w:rFonts w:ascii="Times New Roman" w:hAnsi="Times New Roman"/>
          <w:b/>
          <w:sz w:val="44"/>
          <w:szCs w:val="44"/>
        </w:rPr>
      </w:r>
    </w:p>
    <w:p>
      <w:pPr>
        <w:ind w:left="2835" w:hanging="2835"/>
        <w:jc w:val="center"/>
        <w:rPr>
          <w:rFonts w:ascii="Times New Roman" w:hAnsi="Times New Roman"/>
          <w:sz w:val="44"/>
          <w:szCs w:val="44"/>
        </w:rPr>
      </w:pPr>
      <w:r/>
      <w:bookmarkStart w:id="0" w:name="_Hlk200092102"/>
      <w:r>
        <w:rPr>
          <w:rFonts w:ascii="Times New Roman" w:hAnsi="Times New Roman"/>
          <w:b/>
          <w:sz w:val="44"/>
          <w:szCs w:val="44"/>
        </w:rPr>
        <w:t xml:space="preserve">Dstrana Zone-30</w:t>
      </w:r>
      <w:bookmarkEnd w:id="0"/>
      <w:r>
        <w:rPr>
          <w:rFonts w:ascii="Times New Roman" w:hAnsi="Times New Roman"/>
          <w:sz w:val="44"/>
          <w:szCs w:val="44"/>
        </w:rPr>
      </w:r>
    </w:p>
    <w:p>
      <w:pPr>
        <w:ind w:left="2835" w:hanging="2835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r>
        <w:rPr>
          <w:rFonts w:ascii="Times New Roman" w:hAnsi="Times New Roman"/>
          <w:sz w:val="28"/>
          <w:szCs w:val="40"/>
        </w:rPr>
        <w:t xml:space="preserve">безопасности..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2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...….</w:t>
      </w:r>
      <w:r>
        <w:rPr>
          <w:rFonts w:ascii="Times New Roman" w:hAnsi="Times New Roman"/>
          <w:sz w:val="28"/>
          <w:szCs w:val="40"/>
        </w:rPr>
        <w:t xml:space="preserve">4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…....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</w:t>
      </w:r>
      <w:r>
        <w:rPr>
          <w:rFonts w:ascii="Times New Roman" w:hAnsi="Times New Roman"/>
          <w:sz w:val="28"/>
          <w:szCs w:val="40"/>
        </w:rPr>
        <w:t xml:space="preserve">изготовителя….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.……………………………….......</w:t>
      </w:r>
      <w:r>
        <w:rPr>
          <w:rFonts w:ascii="Times New Roman" w:hAnsi="Times New Roman"/>
          <w:sz w:val="28"/>
          <w:szCs w:val="40"/>
        </w:rPr>
        <w:t xml:space="preserve">7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r>
        <w:rPr>
          <w:rFonts w:ascii="Times New Roman" w:hAnsi="Times New Roman"/>
          <w:sz w:val="28"/>
          <w:szCs w:val="40"/>
        </w:rPr>
        <w:t xml:space="preserve">талон..</w:t>
      </w:r>
      <w:r>
        <w:rPr>
          <w:rFonts w:ascii="Times New Roman" w:hAnsi="Times New Roman"/>
          <w:sz w:val="28"/>
          <w:szCs w:val="40"/>
        </w:rPr>
        <w:t xml:space="preserve">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</w:t>
      </w:r>
      <w:r>
        <w:rPr>
          <w:rFonts w:ascii="Times New Roman" w:hAnsi="Times New Roman"/>
          <w:sz w:val="28"/>
          <w:szCs w:val="40"/>
        </w:rPr>
        <w:t xml:space="preserve">..</w:t>
      </w:r>
      <w:r>
        <w:rPr>
          <w:rFonts w:ascii="Times New Roman" w:hAnsi="Times New Roman"/>
          <w:sz w:val="28"/>
          <w:szCs w:val="40"/>
        </w:rPr>
        <w:t xml:space="preserve">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……..….</w:t>
      </w:r>
      <w:r>
        <w:rPr>
          <w:rFonts w:ascii="Times New Roman" w:hAnsi="Times New Roman"/>
          <w:sz w:val="28"/>
          <w:szCs w:val="40"/>
        </w:rPr>
        <w:t xml:space="preserve">….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1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1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</w:t>
      </w:r>
      <w:r>
        <w:rPr>
          <w:rFonts w:ascii="Times New Roman" w:hAnsi="Times New Roman"/>
          <w:color w:val="000000"/>
          <w:sz w:val="28"/>
          <w:szCs w:val="28"/>
        </w:rPr>
        <w:t xml:space="preserve">ема оповещения, система роботизированного диалога  и т.п.), будь то электронная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</w:t>
      </w:r>
      <w:r>
        <w:rPr>
          <w:rFonts w:ascii="Times New Roman" w:hAnsi="Times New Roman"/>
          <w:color w:val="000000"/>
          <w:sz w:val="28"/>
          <w:szCs w:val="28"/>
        </w:rPr>
        <w:t xml:space="preserve">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(вкл/выкл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 подключения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90260" cy="3779520"/>
                <wp:effectExtent l="0" t="0" r="7620" b="0"/>
                <wp:docPr id="17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890260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3.80pt;height:297.6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</w:t>
      </w:r>
      <w:r>
        <w:rPr>
          <w:rFonts w:ascii="Times New Roman" w:hAnsi="Times New Roman"/>
          <w:b/>
          <w:sz w:val="28"/>
          <w:szCs w:val="28"/>
        </w:rPr>
        <w:t xml:space="preserve">производитель</w:t>
      </w:r>
      <w:r>
        <w:rPr>
          <w:rFonts w:ascii="Times New Roman" w:hAnsi="Times New Roman"/>
          <w:b/>
          <w:sz w:val="28"/>
          <w:szCs w:val="28"/>
        </w:rPr>
        <w:t xml:space="preserve">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</w:t>
      </w:r>
      <w:r>
        <w:rPr>
          <w:rFonts w:ascii="Times New Roman" w:hAnsi="Times New Roman"/>
          <w:b/>
          <w:sz w:val="28"/>
          <w:szCs w:val="28"/>
        </w:rPr>
        <w:t xml:space="preserve">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2.5 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до 30 м2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питания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</w:t>
      </w:r>
      <w:r>
        <w:rPr>
          <w:rFonts w:ascii="Times New Roman" w:hAnsi="Times New Roman" w:cs="Times New Roman"/>
          <w:sz w:val="28"/>
          <w:szCs w:val="28"/>
        </w:rPr>
        <w:t xml:space="preserve">220 -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В, 5А.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25 Вт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jack 3.5 мм для подключения электретного микрофона (с фантомным питанием до 9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jack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0,4 кг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Стационарная индукционная система Dstrana Zone-30</w:t>
      </w:r>
      <w:r>
        <w:rPr>
          <w:rFonts w:ascii="Times New Roman" w:hAnsi="Times New Roman"/>
          <w:sz w:val="28"/>
          <w:szCs w:val="28"/>
        </w:rPr>
        <w:t xml:space="preserve">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- 25 м.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r>
        <w:rPr>
          <w:rFonts w:ascii="Times New Roman" w:hAnsi="Times New Roman"/>
          <w:sz w:val="28"/>
          <w:szCs w:val="28"/>
        </w:rPr>
        <w:t xml:space="preserve">слуховым аппаратом</w:t>
      </w:r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2" w:name="_Hlk200091916"/>
      <w:r/>
      <w:bookmarkStart w:id="3" w:name="_Hlk200101180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</w:t>
      </w:r>
      <w:r>
        <w:rPr>
          <w:rFonts w:ascii="Times New Roman" w:hAnsi="Times New Roman"/>
          <w:b/>
          <w:sz w:val="28"/>
          <w:szCs w:val="28"/>
        </w:rPr>
        <w:t xml:space="preserve">Доступная страна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</w:t>
      </w:r>
      <w:r>
        <w:rPr>
          <w:rFonts w:ascii="Times New Roman" w:hAnsi="Times New Roman"/>
          <w:sz w:val="28"/>
          <w:szCs w:val="28"/>
        </w:rPr>
        <w:t xml:space="preserve">Доступная страна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2"/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bookmarkEnd w:id="3"/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индукционная система Dstrana Zone-30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2.Доставка</w:t>
      </w:r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3.Гарантийные</w:t>
      </w:r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</w:t>
      </w:r>
      <w:r>
        <w:rPr>
          <w:rFonts w:ascii="Arial" w:hAnsi="Arial" w:cs="Arial"/>
          <w:color w:val="000000"/>
          <w:sz w:val="20"/>
          <w:szCs w:val="20"/>
        </w:rPr>
        <w:t xml:space="preserve">  202</w:t>
      </w:r>
      <w:r>
        <w:rPr>
          <w:rFonts w:ascii="Arial" w:hAnsi="Arial" w:cs="Arial"/>
          <w:color w:val="000000"/>
          <w:sz w:val="20"/>
          <w:szCs w:val="20"/>
        </w:rPr>
        <w:t xml:space="preserve">5</w:t>
      </w:r>
      <w:r>
        <w:rPr>
          <w:rFonts w:ascii="Arial" w:hAnsi="Arial" w:cs="Arial"/>
          <w:color w:val="000000"/>
          <w:sz w:val="20"/>
          <w:szCs w:val="20"/>
        </w:rPr>
        <w:t xml:space="preserve">  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r>
        <w:rPr>
          <w:rFonts w:ascii="Arial" w:hAnsi="Arial" w:cs="Arial"/>
          <w:color w:val="000000"/>
          <w:sz w:val="20"/>
          <w:szCs w:val="20"/>
        </w:rPr>
        <w:t xml:space="preserve">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10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209601" cy="713368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35126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2209601" cy="7133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3.98pt;height:56.17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09"/>
    <w:uiPriority w:val="99"/>
  </w:style>
  <w:style w:type="character" w:styleId="45">
    <w:name w:val="Footer Char"/>
    <w:basedOn w:val="704"/>
    <w:link w:val="710"/>
    <w:uiPriority w:val="99"/>
  </w:style>
  <w:style w:type="paragraph" w:styleId="46">
    <w:name w:val="Caption"/>
    <w:basedOn w:val="700"/>
    <w:next w:val="70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1">
    <w:name w:val="Heading 1"/>
    <w:basedOn w:val="700"/>
    <w:next w:val="700"/>
    <w:link w:val="715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2">
    <w:name w:val="Heading 2"/>
    <w:basedOn w:val="700"/>
    <w:next w:val="700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3">
    <w:name w:val="Heading 3"/>
    <w:basedOn w:val="700"/>
    <w:next w:val="700"/>
    <w:link w:val="716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>
    <w:name w:val="Hyperlink"/>
    <w:basedOn w:val="704"/>
    <w:uiPriority w:val="99"/>
    <w:unhideWhenUsed/>
    <w:qFormat/>
    <w:rPr>
      <w:color w:val="0563c1" w:themeColor="hyperlink"/>
      <w:u w:val="single"/>
    </w:rPr>
  </w:style>
  <w:style w:type="paragraph" w:styleId="708">
    <w:name w:val="Balloon Text"/>
    <w:basedOn w:val="700"/>
    <w:link w:val="711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9">
    <w:name w:val="Header"/>
    <w:basedOn w:val="700"/>
    <w:link w:val="71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10">
    <w:name w:val="Footer"/>
    <w:basedOn w:val="700"/>
    <w:link w:val="714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1" w:customStyle="1">
    <w:name w:val="Текст выноски Знак"/>
    <w:link w:val="708"/>
    <w:uiPriority w:val="99"/>
    <w:semiHidden/>
    <w:qFormat/>
    <w:rPr>
      <w:rFonts w:ascii="Tahoma" w:hAnsi="Tahoma" w:cs="Tahoma"/>
      <w:sz w:val="16"/>
      <w:szCs w:val="16"/>
    </w:rPr>
  </w:style>
  <w:style w:type="paragraph" w:styleId="712" w:customStyle="1">
    <w:name w:val="Абзац списка1"/>
    <w:basedOn w:val="700"/>
    <w:uiPriority w:val="34"/>
    <w:qFormat/>
    <w:pPr>
      <w:contextualSpacing/>
      <w:ind w:left="720"/>
    </w:pPr>
  </w:style>
  <w:style w:type="character" w:styleId="713" w:customStyle="1">
    <w:name w:val="Верхний колонтитул Знак"/>
    <w:link w:val="709"/>
    <w:uiPriority w:val="99"/>
    <w:qFormat/>
    <w:rPr>
      <w:sz w:val="22"/>
      <w:szCs w:val="22"/>
    </w:rPr>
  </w:style>
  <w:style w:type="character" w:styleId="714" w:customStyle="1">
    <w:name w:val="Нижний колонтитул Знак"/>
    <w:link w:val="710"/>
    <w:uiPriority w:val="99"/>
    <w:qFormat/>
    <w:rPr>
      <w:sz w:val="22"/>
      <w:szCs w:val="22"/>
    </w:rPr>
  </w:style>
  <w:style w:type="character" w:styleId="715" w:customStyle="1">
    <w:name w:val="Заголовок 1 Знак"/>
    <w:link w:val="70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6" w:customStyle="1">
    <w:name w:val="Заголовок 3 Знак"/>
    <w:link w:val="703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7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  <w:style w:type="character" w:styleId="718">
    <w:name w:val="Unresolved Mention"/>
    <w:basedOn w:val="70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11</cp:revision>
  <dcterms:created xsi:type="dcterms:W3CDTF">2017-07-18T16:11:00Z</dcterms:created>
  <dcterms:modified xsi:type="dcterms:W3CDTF">2025-06-11T14:23:30Z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F6DBE18B11EC4D46B36FC7C61AEE2345_13</vt:lpwstr>
  </property>
</Properties>
</file>